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</w:pPr>
      <w:r>
        <w:rPr>
          <w:b/>
          <w:bCs/>
          <w:color w:val="18181B"/>
          <w:sz w:val="34"/>
          <w:szCs w:val="34"/>
        </w:rPr>
        <w:t xml:space="preserve">Auftragsverarbeitungsvertrag (AVV)</w:t>
      </w:r>
    </w:p>
    <w:p>
      <w:pPr>
        <w:spacing w:after="280"/>
      </w:pPr>
      <w:r>
        <w:rPr>
          <w:color w:val="52525B"/>
          <w:sz w:val="19"/>
          <w:szCs w:val="19"/>
        </w:rPr>
        <w:t xml:space="preserve">nach Art. 28 DSGVO · zum SaaS-Nutzungsvertrag über SyncIT SecureAI</w:t>
      </w:r>
    </w:p>
    <w:p>
      <w:pPr>
        <w:spacing w:after="140" w:before="280"/>
      </w:pPr>
      <w:r>
        <w:rPr>
          <w:b/>
          <w:bCs/>
          <w:color w:val="18181B"/>
          <w:sz w:val="24"/>
          <w:szCs w:val="24"/>
        </w:rPr>
        <w:t xml:space="preserve">Parteien</w:t>
      </w:r>
    </w:p>
    <w:p>
      <w:pPr>
        <w:spacing w:after="60"/>
      </w:pPr>
      <w:r>
        <w:rPr>
          <w:b/>
          <w:bCs/>
          <w:color w:val="18181B"/>
          <w:sz w:val="21"/>
          <w:szCs w:val="21"/>
        </w:rPr>
        <w:t xml:space="preserve">Verantwortlicher (Auftraggeber):</w:t>
      </w:r>
    </w:p>
    <w:p>
      <w:pPr>
        <w:spacing w:after="160"/>
      </w:pPr>
      <w:r>
        <w:rPr>
          <w:color w:val="52525B"/>
          <w:sz w:val="21"/>
          <w:szCs w:val="21"/>
        </w:rPr>
        <w:t xml:space="preserve">Firma: </w:t>
      </w:r>
      <w:r>
        <w:rPr>
          <w:color w:val="18181B"/>
          <w:sz w:val="21"/>
          <w:szCs w:val="21"/>
        </w:rPr>
        <w:t xml:space="preserve">_________________________________________</w:t>
      </w:r>
    </w:p>
    <w:p>
      <w:pPr>
        <w:spacing w:after="160"/>
      </w:pPr>
      <w:r>
        <w:rPr>
          <w:color w:val="52525B"/>
          <w:sz w:val="21"/>
          <w:szCs w:val="21"/>
        </w:rPr>
        <w:t xml:space="preserve">Anschrift: </w:t>
      </w:r>
      <w:r>
        <w:rPr>
          <w:color w:val="18181B"/>
          <w:sz w:val="21"/>
          <w:szCs w:val="21"/>
        </w:rPr>
        <w:t xml:space="preserve">_________________________________________</w:t>
      </w:r>
    </w:p>
    <w:p>
      <w:pPr>
        <w:spacing w:after="160"/>
      </w:pPr>
      <w:r>
        <w:rPr>
          <w:color w:val="52525B"/>
          <w:sz w:val="21"/>
          <w:szCs w:val="21"/>
        </w:rPr>
        <w:t xml:space="preserve">Vertreten durch: </w:t>
      </w:r>
      <w:r>
        <w:rPr>
          <w:color w:val="18181B"/>
          <w:sz w:val="21"/>
          <w:szCs w:val="21"/>
        </w:rPr>
        <w:t xml:space="preserve">_________________________________________</w:t>
      </w:r>
    </w:p>
    <w:p>
      <w:pPr>
        <w:spacing w:after="60"/>
      </w:pPr>
      <w:r>
        <w:rPr>
          <w:b/>
          <w:bCs/>
          <w:color w:val="18181B"/>
          <w:sz w:val="21"/>
          <w:szCs w:val="21"/>
        </w:rPr>
        <w:t xml:space="preserve">Auftragsverarbeiter (Auftragnehmer):</w:t>
      </w:r>
    </w:p>
    <w:p>
      <w:pPr>
        <w:spacing w:after="200"/>
      </w:pPr>
      <w:r>
        <w:rPr>
          <w:color w:val="18181B"/>
          <w:sz w:val="21"/>
          <w:szCs w:val="21"/>
        </w:rPr>
        <w:t xml:space="preserve">SyncIT – Inhaber Sebastian Grobarek, Brettener Str. 18, 75177 Pforzheim, Deutschland</w:t>
      </w:r>
    </w:p>
    <w:p>
      <w:pPr>
        <w:spacing w:after="140" w:before="280"/>
      </w:pPr>
      <w:r>
        <w:rPr>
          <w:b/>
          <w:bCs/>
          <w:color w:val="18181B"/>
          <w:sz w:val="24"/>
          <w:szCs w:val="24"/>
        </w:rPr>
        <w:t xml:space="preserve">§ 1 Gegenstand und Dauer</w:t>
      </w:r>
    </w:p>
    <w:p>
      <w:pPr>
        <w:spacing w:after="120"/>
      </w:pPr>
      <w:r>
        <w:rPr>
          <w:color w:val="18181B"/>
          <w:sz w:val="21"/>
          <w:szCs w:val="21"/>
        </w:rPr>
        <w:t xml:space="preserve">Der Auftragnehmer verarbeitet personenbezogene Daten im Auftrag des Verantwortlichen im Rahmen der Nutzung des Dienstes „SyncIT SecureAI“ (secure.syncit-systems.de). Die Dauer entspricht der Laufzeit des Hauptvertrags (SaaS-Nutzungsvertrag).</w:t>
      </w:r>
    </w:p>
    <w:p>
      <w:pPr>
        <w:spacing w:after="140" w:before="280"/>
      </w:pPr>
      <w:r>
        <w:rPr>
          <w:b/>
          <w:bCs/>
          <w:color w:val="18181B"/>
          <w:sz w:val="24"/>
          <w:szCs w:val="24"/>
        </w:rPr>
        <w:t xml:space="preserve">§ 2 Art, Zweck, Datenkategorien, Betroffene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Art der Verarbeitung: Speichern, Ordnen, Auslesen, Auswerten, Löschen im Rahmen des Dienstes.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Zweck: Bereitstellung der vom Verantwortlichen genutzten Funktionen (NIS2-Compliance-Management, IT-Inventar, Risikoanalyse, Backup-Überwachung, Sicherheits-Scans, Ticketing, Wissensdatenbank).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Datenkategorien: Stammdaten und geschäftliche Kontaktdaten von Beschäftigten (Name, E-Mail), Zugangsdaten (gehasht), IT-Inventar- und Konfigurationsdaten, Vorfalls- und Ticketdaten, Nutzungs- und Protokolldaten, Inhalte hochgeladener Dokumente.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Kategorien Betroffener: Beschäftigte und Ansprechpartner des Verantwortlichen; je nach Nutzung Kunden und Lieferanten des Verantwortlichen.</w:t>
      </w:r>
    </w:p>
    <w:p>
      <w:pPr>
        <w:spacing w:after="140" w:before="280"/>
      </w:pPr>
      <w:r>
        <w:rPr>
          <w:b/>
          <w:bCs/>
          <w:color w:val="18181B"/>
          <w:sz w:val="24"/>
          <w:szCs w:val="24"/>
        </w:rPr>
        <w:t xml:space="preserve">§ 3 Weisungsbindung</w:t>
      </w:r>
    </w:p>
    <w:p>
      <w:pPr>
        <w:spacing w:after="120"/>
      </w:pPr>
      <w:r>
        <w:rPr>
          <w:color w:val="18181B"/>
          <w:sz w:val="21"/>
          <w:szCs w:val="21"/>
        </w:rPr>
        <w:t xml:space="preserve">Der Auftragnehmer verarbeitet die Daten ausschließlich auf dokumentierte Weisung des Verantwortlichen. Hält er eine Weisung für rechtswidrig, informiert er den Verantwortlichen.</w:t>
      </w:r>
    </w:p>
    <w:p>
      <w:pPr>
        <w:spacing w:after="140" w:before="280"/>
      </w:pPr>
      <w:r>
        <w:rPr>
          <w:b/>
          <w:bCs/>
          <w:color w:val="18181B"/>
          <w:sz w:val="24"/>
          <w:szCs w:val="24"/>
        </w:rPr>
        <w:t xml:space="preserve">§ 4 Vertraulichkeit</w:t>
      </w:r>
    </w:p>
    <w:p>
      <w:pPr>
        <w:spacing w:after="120"/>
      </w:pPr>
      <w:r>
        <w:rPr>
          <w:color w:val="18181B"/>
          <w:sz w:val="21"/>
          <w:szCs w:val="21"/>
        </w:rPr>
        <w:t xml:space="preserve">Der Auftragnehmer setzt nur Personen ein, die zur Vertraulichkeit verpflichtet sind (Art. 28 Abs. 3 lit. b, Art. 29, 32 Abs. 4 DSGVO).</w:t>
      </w:r>
    </w:p>
    <w:p>
      <w:pPr>
        <w:spacing w:after="140" w:before="280"/>
      </w:pPr>
      <w:r>
        <w:rPr>
          <w:b/>
          <w:bCs/>
          <w:color w:val="18181B"/>
          <w:sz w:val="24"/>
          <w:szCs w:val="24"/>
        </w:rPr>
        <w:t xml:space="preserve">§ 5 Technisch-organisatorische Maßnahmen (TOM)</w:t>
      </w:r>
    </w:p>
    <w:p>
      <w:pPr>
        <w:spacing w:after="120"/>
      </w:pPr>
      <w:r>
        <w:rPr>
          <w:color w:val="18181B"/>
          <w:sz w:val="21"/>
          <w:szCs w:val="21"/>
        </w:rPr>
        <w:t xml:space="preserve">Der Auftragnehmer trifft die nach Art. 32 DSGVO erforderlichen Maßnahmen; Details in Anlage 1.</w:t>
      </w:r>
    </w:p>
    <w:p>
      <w:pPr>
        <w:spacing w:after="140" w:before="280"/>
      </w:pPr>
      <w:r>
        <w:rPr>
          <w:b/>
          <w:bCs/>
          <w:color w:val="18181B"/>
          <w:sz w:val="24"/>
          <w:szCs w:val="24"/>
        </w:rPr>
        <w:t xml:space="preserve">§ 6 Unterauftragsverarbeiter</w:t>
      </w:r>
    </w:p>
    <w:p>
      <w:pPr>
        <w:spacing w:after="120"/>
      </w:pPr>
      <w:r>
        <w:rPr>
          <w:color w:val="18181B"/>
          <w:sz w:val="21"/>
          <w:szCs w:val="21"/>
        </w:rPr>
        <w:t xml:space="preserve">Der Verantwortliche stimmt dem Einsatz der in Anlage 2 genannten Unterauftragsverarbeiter zu. Wechsel oder Neuaufnahme werden vorab mitgeteilt; Widerspruch aus wichtigem Grund ist möglich.</w:t>
      </w:r>
    </w:p>
    <w:p>
      <w:pPr>
        <w:spacing w:after="140" w:before="280"/>
      </w:pPr>
      <w:r>
        <w:rPr>
          <w:b/>
          <w:bCs/>
          <w:color w:val="18181B"/>
          <w:sz w:val="24"/>
          <w:szCs w:val="24"/>
        </w:rPr>
        <w:t xml:space="preserve">§ 7 Unterstützungspflichten</w:t>
      </w:r>
    </w:p>
    <w:p>
      <w:pPr>
        <w:spacing w:after="120"/>
      </w:pPr>
      <w:r>
        <w:rPr>
          <w:color w:val="18181B"/>
          <w:sz w:val="21"/>
          <w:szCs w:val="21"/>
        </w:rPr>
        <w:t xml:space="preserve">Der Auftragnehmer unterstützt den Verantwortlichen angemessen bei Betroffenenrechten (Art. 12–23 DSGVO), Meldepflichten (Art. 33/34 DSGVO) und Datenschutz-Folgenabschätzungen.</w:t>
      </w:r>
    </w:p>
    <w:p>
      <w:pPr>
        <w:spacing w:after="140" w:before="280"/>
      </w:pPr>
      <w:r>
        <w:rPr>
          <w:b/>
          <w:bCs/>
          <w:color w:val="18181B"/>
          <w:sz w:val="24"/>
          <w:szCs w:val="24"/>
        </w:rPr>
        <w:t xml:space="preserve">§ 8 Datenschutzverletzungen</w:t>
      </w:r>
    </w:p>
    <w:p>
      <w:pPr>
        <w:spacing w:after="120"/>
      </w:pPr>
      <w:r>
        <w:rPr>
          <w:color w:val="18181B"/>
          <w:sz w:val="21"/>
          <w:szCs w:val="21"/>
        </w:rPr>
        <w:t xml:space="preserve">Der Auftragnehmer meldet Verletzungen des Schutzes personenbezogener Daten unverzüglich nach Bekanntwerden an den Verantwortlichen.</w:t>
      </w:r>
    </w:p>
    <w:p>
      <w:pPr>
        <w:spacing w:after="140" w:before="280"/>
      </w:pPr>
      <w:r>
        <w:rPr>
          <w:b/>
          <w:bCs/>
          <w:color w:val="18181B"/>
          <w:sz w:val="24"/>
          <w:szCs w:val="24"/>
        </w:rPr>
        <w:t xml:space="preserve">§ 9 Löschung / Rückgabe</w:t>
      </w:r>
    </w:p>
    <w:p>
      <w:pPr>
        <w:spacing w:after="120"/>
      </w:pPr>
      <w:r>
        <w:rPr>
          <w:color w:val="18181B"/>
          <w:sz w:val="21"/>
          <w:szCs w:val="21"/>
        </w:rPr>
        <w:t xml:space="preserve">Nach Ende der Verarbeitung löscht oder retourniert der Auftragnehmer die Daten nach Wahl des Verantwortlichen, sofern keine gesetzliche Aufbewahrungspflicht besteht. Standard: Löschung 30 Tage nach Vertragsende; Export vorher möglich.</w:t>
      </w:r>
    </w:p>
    <w:p>
      <w:pPr>
        <w:spacing w:after="140" w:before="280"/>
      </w:pPr>
      <w:r>
        <w:rPr>
          <w:b/>
          <w:bCs/>
          <w:color w:val="18181B"/>
          <w:sz w:val="24"/>
          <w:szCs w:val="24"/>
        </w:rPr>
        <w:t xml:space="preserve">§ 10 Nachweise / Kontrollen</w:t>
      </w:r>
    </w:p>
    <w:p>
      <w:pPr>
        <w:spacing w:after="300"/>
      </w:pPr>
      <w:r>
        <w:rPr>
          <w:color w:val="18181B"/>
          <w:sz w:val="21"/>
          <w:szCs w:val="21"/>
        </w:rPr>
        <w:t xml:space="preserve">Der Auftragnehmer stellt die zum Nachweis der Pflichten erforderlichen Informationen bereit und ermöglicht Überprüfungen in angemessenem Rahmen.</w:t>
      </w:r>
    </w:p>
    <w:p>
      <w:pPr>
        <w:spacing w:after="60"/>
      </w:pPr>
      <w:r>
        <w:rPr>
          <w:color w:val="18181B"/>
          <w:sz w:val="21"/>
          <w:szCs w:val="21"/>
        </w:rPr>
        <w:t xml:space="preserve">Ort, Datum: ____________________________</w:t>
      </w:r>
      <w:r>
        <w:rPr>
          <w:color w:val="18181B"/>
          <w:sz w:val="21"/>
          <w:szCs w:val="21"/>
        </w:rPr>
        <w:t xml:space="preserve">      </w:t>
      </w:r>
      <w:r>
        <w:rPr>
          <w:color w:val="18181B"/>
          <w:sz w:val="21"/>
          <w:szCs w:val="21"/>
        </w:rPr>
        <w:t xml:space="preserve">Ort, Datum: ____________________________</w:t>
      </w:r>
    </w:p>
    <w:p>
      <w:pPr>
        <w:spacing w:after="300"/>
      </w:pPr>
      <w:r>
        <w:rPr>
          <w:color w:val="18181B"/>
          <w:sz w:val="21"/>
          <w:szCs w:val="21"/>
        </w:rPr>
        <w:t xml:space="preserve">Verantwortlicher: ______________________</w:t>
      </w:r>
      <w:r>
        <w:rPr>
          <w:color w:val="18181B"/>
          <w:sz w:val="21"/>
          <w:szCs w:val="21"/>
        </w:rPr>
        <w:t xml:space="preserve">      </w:t>
      </w:r>
      <w:r>
        <w:rPr>
          <w:color w:val="18181B"/>
          <w:sz w:val="21"/>
          <w:szCs w:val="21"/>
        </w:rPr>
        <w:t xml:space="preserve">Auftragnehmer: _________________________</w:t>
      </w:r>
    </w:p>
    <w:p>
      <w:pPr>
        <w:pageBreakBefore/>
        <w:spacing w:after="140"/>
      </w:pPr>
      <w:r>
        <w:rPr>
          <w:b/>
          <w:bCs/>
          <w:sz w:val="26"/>
          <w:szCs w:val="26"/>
        </w:rPr>
        <w:t xml:space="preserve">Anlage 1: Technisch-organisatorische Maßnahmen (TOM)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Verschlüsselung: TLS für jede Datenübertragung; Passwörter ausschließlich als Argon2id-Hash; TOTP-Geheimnisse AES-256-verschlüsselt.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Mandantentrennung: strikte Trennung der Kundendaten auf Datenbankebene (Row-Level-Security, mandantsgebundene Zugriffe).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Zugriffskontrolle: rollenbasierte Berechtigungen, Zwei-Faktor-Authentifizierung verfügbar, automatische Sitzungs-Invalidierung bei Passwortwechsel.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Verfügbarkeit &amp; Wiederherstellbarkeit: tägliche verschlüsselte Offsite-Backups (EU) mit dokumentiertem, getestetem Wiederherstellungsverfahren.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Betrieb: Server in Deutschland (Hetzner, Rechenzentrum mit Zutrittskontrolle), Härtung (Firewall, lokale Dienstbindung), zeitnahe Sicherheitsupdates.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Protokollierung: revisionsfähige Audit-Logs sicherheitsrelevanter Aktionen.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Organisation: Vertraulichkeitsverpflichtung eingesetzter Personen; Least-Privilege-Prinzip.</w:t>
      </w:r>
    </w:p>
    <w:p>
      <w:pPr>
        <w:spacing w:after="140" w:before="280"/>
      </w:pPr>
      <w:r>
        <w:rPr>
          <w:b/>
          <w:bCs/>
          <w:sz w:val="26"/>
          <w:szCs w:val="26"/>
        </w:rPr>
        <w:t xml:space="preserve">Anlage 2: Unterauftragsverarbeiter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Hetzner Online GmbH, Gunzenhausen, Deutschland – Server-Hosting.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IONOS SE, Montabaur, Deutschland – E-Mail-Versand (System- und Benachrichtigungsmails).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BorgBase / Stack Innovations Inc. (EU-Region) – verschlüsselte Offsite-Backups (Inhalte für den Dienstleister nicht lesbar, Zero-Knowledge).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18181B"/>
          <w:sz w:val="21"/>
          <w:szCs w:val="21"/>
        </w:rPr>
        <w:t xml:space="preserve">Stripe Payments Europe Ltd., Dublin, Irland – Zahlungsabwicklung (nur sofern Zahlung über Stripe erfolgt).</w:t>
      </w:r>
    </w:p>
    <w:sectPr>
      <w:headerReference w:type="default" r:id="rId7"/>
      <w:footerReference w:type="default" r:id="rId8"/>
      <w:pgSz w:w="11906" w:h="16838" w:orient="portrait"/>
      <w:pgMar w:top="20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52525B"/>
        <w:sz w:val="15"/>
        <w:szCs w:val="15"/>
      </w:rPr>
      <w:t xml:space="preserve">SyncIT – Inhaber Sebastian Grobarek · Kleinunternehmer gem. § 19 UStG · secure.syncit-systems.de</w:t>
    </w:r>
    <w:r>
      <w:rPr>
        <w:color w:val="52525B"/>
        <w:sz w:val="15"/>
        <w:szCs w:val="15"/>
      </w:rPr>
      <w:t xml:space="preserve">	Seite </w:t>
    </w:r>
    <w:r>
      <w:rPr>
        <w:color w:val="52525B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2525B"/>
        <w:sz w:val="15"/>
        <w:szCs w:val="15"/>
      </w:rPr>
      <w:t xml:space="preserve"> von </w:t>
    </w:r>
    <w:r>
      <w:rPr>
        <w:color w:val="52525B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5526"/>
      <w:gridCol w:w="3500"/>
    </w:tblGrid>
    <w:tr>
      <w:tc>
        <w:tcPr>
          <w:tcW w:type="dxa" w:w="5526"/>
          <w:tcBorders>
            <w:top w:val="none"/>
            <w:left w:val="none"/>
            <w:bottom w:val="none"/>
            <w:right w:val="none"/>
          </w:tcBorders>
        </w:tcPr>
        <w:p>
          <w:pPr>
            <w:spacing w:after="40"/>
          </w:pPr>
          <w:r>
            <w:drawing>
              <wp:inline distT="0" distB="0" distL="0" distR="0">
                <wp:extent cx="323850" cy="323850"/>
                <wp:effectExtent t="0" r="0" b="0" l="0"/>
                <wp:docPr id="1" name="syncit-logo" descr="SyncIT Logo" title="Sync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color w:val="18181B"/>
              <w:sz w:val="28"/>
              <w:szCs w:val="28"/>
            </w:rPr>
            <w:t xml:space="preserve">   SyncIT </w:t>
          </w:r>
          <w:r>
            <w:rPr>
              <w:b/>
              <w:bCs/>
              <w:color w:val="0891B2"/>
              <w:sz w:val="28"/>
              <w:szCs w:val="28"/>
            </w:rPr>
            <w:t xml:space="preserve">SecureAI</w:t>
          </w:r>
        </w:p>
        <w:p>
          <w:pPr>
            <w:spacing w:after="0"/>
          </w:pPr>
          <w:r>
            <w:rPr>
              <w:color w:val="52525B"/>
              <w:sz w:val="18"/>
              <w:szCs w:val="18"/>
            </w:rPr>
            <w:t xml:space="preserve">Auftragsverarbeitungsvertrag</w:t>
          </w:r>
        </w:p>
      </w:tc>
      <w:tc>
        <w:tcPr>
          <w:tcW w:type="dxa" w:w="3500"/>
          <w:tcBorders>
            <w:top w:val="none"/>
            <w:left w:val="none"/>
            <w:bottom w:val="none"/>
            <w:right w:val="none"/>
          </w:tcBorders>
        </w:tcPr>
        <w:p>
          <w:pPr>
            <w:spacing w:after="20"/>
            <w:jc w:val="right"/>
          </w:pPr>
          <w:r>
            <w:rPr>
              <w:color w:val="52525B"/>
              <w:sz w:val="16"/>
              <w:szCs w:val="16"/>
            </w:rPr>
            <w:t xml:space="preserve">SyncIT – Inhaber Sebastian Grobarek</w:t>
          </w:r>
        </w:p>
        <w:p>
          <w:pPr>
            <w:spacing w:after="20"/>
            <w:jc w:val="right"/>
          </w:pPr>
          <w:r>
            <w:rPr>
              <w:color w:val="52525B"/>
              <w:sz w:val="16"/>
              <w:szCs w:val="16"/>
            </w:rPr>
            <w:t xml:space="preserve">Brettener Str. 18, 75177 Pforzheim, Deutschland</w:t>
          </w:r>
        </w:p>
        <w:p>
          <w:pPr>
            <w:spacing w:after="0"/>
            <w:jc w:val="right"/>
          </w:pPr>
          <w:r>
            <w:rPr>
              <w:color w:val="52525B"/>
              <w:sz w:val="16"/>
              <w:szCs w:val="16"/>
            </w:rPr>
            <w:t xml:space="preserve">kontakt@syncit-systems.de · +49 1556 2357448</w:t>
          </w:r>
        </w:p>
      </w:tc>
    </w:tr>
  </w:tbl>
  <w:p>
    <w:pPr>
      <w:pBdr>
        <w:bottom w:val="single" w:color="0891B2" w:sz="6" w:space="4"/>
      </w:pBdr>
      <w:spacing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9331489785d6940c8205946dd331a0d0bece06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2026-06-12T11:04:21.807Z</dcterms:created>
  <dcterms:modified xsi:type="dcterms:W3CDTF">2026-06-12T11:04:21.807Z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